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C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</w:t>
      </w:r>
      <w:r>
        <w:rPr>
          <w:rFonts w:ascii="Times New Roman" w:hAnsi="Times New Roman" w:cs="Times New Roman"/>
          <w:b/>
          <w:bCs/>
          <w:sz w:val="28"/>
          <w:szCs w:val="28"/>
        </w:rPr>
        <w:t>вского сельского поселения от 18 октября 2019</w:t>
      </w:r>
      <w:r w:rsidRPr="00554C0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№160 «Об утверждении муниципальной программы</w:t>
      </w: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C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 Курганинского </w:t>
      </w: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C0E">
        <w:rPr>
          <w:rFonts w:ascii="Times New Roman" w:hAnsi="Times New Roman" w:cs="Times New Roman"/>
          <w:b/>
          <w:bCs/>
          <w:sz w:val="28"/>
          <w:szCs w:val="28"/>
        </w:rPr>
        <w:t xml:space="preserve">района «Развитие культуры в Константиновском </w:t>
      </w: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C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2020-2022</w:t>
      </w:r>
      <w:r w:rsidRPr="00554C0E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Курганинского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                      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 п о с т а н о в л я ю: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         1. Внести изменения в постановление администрации Константино</w:t>
      </w:r>
      <w:r>
        <w:rPr>
          <w:rFonts w:ascii="Times New Roman" w:hAnsi="Times New Roman" w:cs="Times New Roman"/>
          <w:bCs/>
          <w:sz w:val="28"/>
          <w:szCs w:val="28"/>
        </w:rPr>
        <w:t>вского сельского поселения от 18 октября 2019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C0E">
        <w:rPr>
          <w:rFonts w:ascii="Times New Roman" w:hAnsi="Times New Roman" w:cs="Times New Roman"/>
          <w:bCs/>
          <w:sz w:val="28"/>
          <w:szCs w:val="28"/>
        </w:rPr>
        <w:t>160 «Об утверждении муниципальной программы Константиновского сельского поселения Курганинского района "Развитие культуры в Константиновском сельском поселен</w:t>
      </w:r>
      <w:r>
        <w:rPr>
          <w:rFonts w:ascii="Times New Roman" w:hAnsi="Times New Roman" w:cs="Times New Roman"/>
          <w:bCs/>
          <w:sz w:val="28"/>
          <w:szCs w:val="28"/>
        </w:rPr>
        <w:t>ии Курганинского района» на 2020-2022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2. Постановление вступает в силу с момента подписания.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Глава Константиновского сельского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  П.М. Ильинов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Бюджетным отделом администрации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Константиновского сельского поселения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Начальник бюджетного отдела</w:t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  <w:t xml:space="preserve">          Е.Н. Масалова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Начальник общего отдела администрации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Константиновского сельского поселения</w:t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54C0E">
        <w:rPr>
          <w:rFonts w:ascii="Times New Roman" w:hAnsi="Times New Roman" w:cs="Times New Roman"/>
          <w:bCs/>
          <w:sz w:val="28"/>
          <w:szCs w:val="28"/>
        </w:rPr>
        <w:t xml:space="preserve">  Е.А. Артемова</w:t>
      </w: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E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lastRenderedPageBreak/>
        <w:t>Заместитель главы Константиновского</w:t>
      </w:r>
    </w:p>
    <w:p w:rsidR="002D5E50" w:rsidRPr="00554C0E" w:rsidRDefault="00554C0E" w:rsidP="00554C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</w:r>
      <w:r w:rsidRPr="00554C0E">
        <w:rPr>
          <w:rFonts w:ascii="Times New Roman" w:hAnsi="Times New Roman" w:cs="Times New Roman"/>
          <w:bCs/>
          <w:sz w:val="28"/>
          <w:szCs w:val="28"/>
        </w:rPr>
        <w:tab/>
        <w:t xml:space="preserve">            Т.В. Половинкина</w:t>
      </w:r>
    </w:p>
    <w:p w:rsidR="002D5E50" w:rsidRPr="00554C0E" w:rsidRDefault="002D5E50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E50" w:rsidRPr="00554C0E" w:rsidRDefault="002D5E50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00C4" w:rsidRPr="00554C0E" w:rsidRDefault="004C00C4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DD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FB4DD5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B35128">
              <w:rPr>
                <w:rFonts w:ascii="Times New Roman" w:hAnsi="Times New Roman" w:cs="Times New Roman"/>
                <w:sz w:val="24"/>
                <w:szCs w:val="24"/>
              </w:rPr>
              <w:t>27157,6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FB4DD5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B35128">
              <w:rPr>
                <w:rFonts w:ascii="Times New Roman" w:hAnsi="Times New Roman" w:cs="Times New Roman"/>
                <w:sz w:val="24"/>
                <w:szCs w:val="24"/>
              </w:rPr>
              <w:t>9428,6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FB4DD5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FB4DD5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 xml:space="preserve">еры культуры",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Курганинского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>, согласно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FB4DD5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B4DD5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B4DD5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FB4D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4DD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276"/>
        <w:gridCol w:w="1134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FB4D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FB4D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FB4DD5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B35128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B35128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B3512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B3512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B35128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B35128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3512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3512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учреждений библиотечного 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4C0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4C0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4C0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4C0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FB4DD5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554C0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554C0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554C0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554C0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FB4DD5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AE" w:rsidRPr="00FE4C50" w:rsidTr="00FB4DD5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B35128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B3512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B35128">
        <w:rPr>
          <w:rFonts w:ascii="Times New Roman" w:hAnsi="Times New Roman" w:cs="Times New Roman"/>
          <w:sz w:val="28"/>
          <w:szCs w:val="28"/>
        </w:rPr>
        <w:t>27157,6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D77300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B35128">
        <w:rPr>
          <w:rFonts w:ascii="Times New Roman" w:hAnsi="Times New Roman" w:cs="Times New Roman"/>
          <w:sz w:val="28"/>
          <w:szCs w:val="28"/>
        </w:rPr>
        <w:t>9428,6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D77300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77300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77300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D77300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D77300" w:rsidP="00D773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77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</w:t>
            </w: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D77300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B3512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22998,4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B35128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8019,2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554C0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554C0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</w:t>
            </w: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B3512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27157,6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B35128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9428,6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554C0E" w:rsidP="00DD0221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</w:p>
    <w:p w:rsidR="00DD0221" w:rsidRPr="005B3284" w:rsidRDefault="00554C0E" w:rsidP="00DD0221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D0221"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Курганинского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="00554C0E">
        <w:rPr>
          <w:rFonts w:ascii="Times New Roman" w:hAnsi="Times New Roman"/>
          <w:sz w:val="28"/>
          <w:szCs w:val="28"/>
        </w:rPr>
        <w:t>Е.Н. Масалова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63" w:rsidRDefault="00FD7F63" w:rsidP="00C21010">
      <w:r>
        <w:separator/>
      </w:r>
    </w:p>
  </w:endnote>
  <w:endnote w:type="continuationSeparator" w:id="0">
    <w:p w:rsidR="00FD7F63" w:rsidRDefault="00FD7F63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63" w:rsidRDefault="00FD7F63" w:rsidP="00C21010">
      <w:r>
        <w:separator/>
      </w:r>
    </w:p>
  </w:footnote>
  <w:footnote w:type="continuationSeparator" w:id="0">
    <w:p w:rsidR="00FD7F63" w:rsidRDefault="00FD7F63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3639"/>
    <w:rsid w:val="00094B81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740B8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4C0E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C4878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14A8"/>
    <w:rsid w:val="00896215"/>
    <w:rsid w:val="008A4765"/>
    <w:rsid w:val="008A518F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71A4D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55A20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17BD2"/>
    <w:rsid w:val="00B2652E"/>
    <w:rsid w:val="00B35128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77300"/>
    <w:rsid w:val="00D817C7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4DD5"/>
    <w:rsid w:val="00FB6B63"/>
    <w:rsid w:val="00FD1060"/>
    <w:rsid w:val="00FD7F63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28CA-7A38-44B4-9140-5705FFD3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10</cp:revision>
  <cp:lastPrinted>2019-10-10T06:17:00Z</cp:lastPrinted>
  <dcterms:created xsi:type="dcterms:W3CDTF">2019-10-10T06:25:00Z</dcterms:created>
  <dcterms:modified xsi:type="dcterms:W3CDTF">2020-03-04T08:30:00Z</dcterms:modified>
</cp:coreProperties>
</file>